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EB6" w:rsidRPr="00B97EB6" w:rsidRDefault="00B97EB6" w:rsidP="00B97EB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97EB6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B97EB6">
        <w:rPr>
          <w:rFonts w:ascii="Times New Roman" w:eastAsia="Calibri" w:hAnsi="Times New Roman" w:cs="Times New Roman"/>
          <w:b/>
          <w:bCs/>
          <w:sz w:val="24"/>
          <w:szCs w:val="24"/>
        </w:rPr>
        <w:t>. ТЕМАТИКА КОНТРОЛЬНЫХ РАБОТ И МЕТОДИЧЕСКИЕ УКАЗАНИЯ ПО ИХ ВЫПОЛНЕНИЮ</w:t>
      </w:r>
    </w:p>
    <w:p w:rsidR="00B97EB6" w:rsidRPr="00B97EB6" w:rsidRDefault="00B97EB6" w:rsidP="00B97EB6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I. Общие положения по выполнению контрольных работ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состоит из теоретического вопроса и практического задания. Теоретический вопрос предполагает развернутое изложение материала по существу конкретной темы на основе изучения литературных источников. 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Практические задания предполагают решение задачи. Ответ нужно сопроводить решением и развернутым письменным пояснением.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При оценке выполнения работы большое значение придается самостоятельности в изложении материала и обосновании тех или иных пояснений.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При этом, теоретическая часть контрольной работы и ее план должны состоять из краткого введения (где следует отразить актуальность данной темы, цель и задачи работы); ее содержательной (основной) части, состоящей из 3 – 4 вопросов; заключения; списка литературы и при необходимости приложений. Общий рекомендуемый объем контрольной работы 15 – 20 страниц печатного текста, включая практическое задание.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Главными задачами обучающегося при выполнении контрольной работы являются: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- самостоятельное изучение рекомендуемых и других литературных источников по конкретному вопросу, критическое осмысление изучаемого материала;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- овладение навыками его аналитического обобщения и целенаправленность изложения в виде контрольной работы;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- овладение научно-экономическим стилем письма, навыками решения практических задач;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- умение пользоваться нормативными документами, строить и анализировать цифровые таблицы и делать на их основе обоснованные выводы и обобщения.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При этом контрольная работа должна носить аналитически - обзорный характер, не копировать учебно-лекционный материал.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Приступая к выполнению контрольной работы, следует внимательно ознакомиться с заданием.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Задания по контрольной работе выбираются в зависимости от начальной буквы фамилии студента согласно следующему распределению: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2127"/>
        <w:gridCol w:w="5245"/>
        <w:gridCol w:w="3260"/>
      </w:tblGrid>
      <w:tr w:rsidR="00B97EB6" w:rsidRPr="00B97EB6" w:rsidTr="00924938">
        <w:trPr>
          <w:trHeight w:val="711"/>
        </w:trPr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hanging="11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Начальная буква фамилии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hanging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Номер теоретического вопроса (темы контрольных работ)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Номер практического задания (задачи)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B97EB6" w:rsidRPr="00B97EB6" w:rsidTr="00924938">
        <w:tc>
          <w:tcPr>
            <w:tcW w:w="2127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</w:p>
        </w:tc>
        <w:tc>
          <w:tcPr>
            <w:tcW w:w="5245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60" w:type="dxa"/>
          </w:tcPr>
          <w:p w:rsidR="00B97EB6" w:rsidRPr="00B97EB6" w:rsidRDefault="00B97EB6" w:rsidP="00B97EB6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EB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Зачтенные и </w:t>
      </w:r>
      <w:proofErr w:type="spellStart"/>
      <w:r w:rsidRPr="00B97EB6">
        <w:rPr>
          <w:rFonts w:ascii="Times New Roman" w:eastAsia="Calibri" w:hAnsi="Times New Roman" w:cs="Times New Roman"/>
          <w:sz w:val="24"/>
          <w:szCs w:val="24"/>
        </w:rPr>
        <w:t>незачтенные</w:t>
      </w:r>
      <w:proofErr w:type="spellEnd"/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 работы после поверки возвращаются студентам. </w:t>
      </w:r>
      <w:proofErr w:type="spellStart"/>
      <w:r w:rsidRPr="00B97EB6">
        <w:rPr>
          <w:rFonts w:ascii="Times New Roman" w:eastAsia="Calibri" w:hAnsi="Times New Roman" w:cs="Times New Roman"/>
          <w:sz w:val="24"/>
          <w:szCs w:val="24"/>
        </w:rPr>
        <w:t>Незачтенные</w:t>
      </w:r>
      <w:proofErr w:type="spellEnd"/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 работы должны быть переработаны в соответствии с замечаниями и вновь направлены на проверку. Студенты, получившие незачет по контрольным работам, не допускаются к сдаче экзамена.</w:t>
      </w: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EB6" w:rsidRPr="00B97EB6" w:rsidRDefault="00B97EB6" w:rsidP="00B97EB6">
      <w:pPr>
        <w:spacing w:after="0" w:line="360" w:lineRule="auto"/>
        <w:ind w:firstLine="709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B97EB6">
        <w:rPr>
          <w:rFonts w:ascii="Times New Roman" w:eastAsia="Calibri" w:hAnsi="Times New Roman" w:cs="Times New Roman"/>
          <w:b/>
          <w:bCs/>
          <w:sz w:val="24"/>
          <w:szCs w:val="24"/>
        </w:rPr>
        <w:t>II. Темы контрольных работ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Законодательные и нормативные правовые акты, регулирующие особенности правового положения казенных, бюджетных и автономных </w:t>
      </w:r>
      <w:r w:rsidRPr="00B97EB6">
        <w:rPr>
          <w:rFonts w:ascii="Times New Roman" w:eastAsia="Calibri" w:hAnsi="Times New Roman" w:cs="Times New Roman"/>
          <w:sz w:val="24"/>
          <w:szCs w:val="24"/>
        </w:rPr>
        <w:lastRenderedPageBreak/>
        <w:t>учреждений.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Порядок формирования государственного (муниципального) задания для государственных (муниципальных) учреждений на оказание государственных (муниципальных) услуг физическим и юридическим лицам. 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Показатели, характеризующие качество и объем (содержание) государственной (муниципальной) услуги. Порядок оказания (выполнения) государственной (муниципальной) услуги. 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Финансовое обеспечение выполнения государственного (муниципального) задания государственными (муниципальными) учреждениями.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составления, утверждения и ведения бюджетных смет казенных учреждений. Состав показателей бюджетной сметы в разрезе классификации операций сектора государственного управления (далее – КОСГУ).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Порядок составления и утверждения плана финансово-хозяйственной деятельности государственных (муниципальных) учреждений. 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Показатели финансового состояния государственного (муниципального) учреждения. 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формирования показателей по поступлениям и выплатам бюджетных и автономных учреждений.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Источники финансового обеспечения общеобразовательных учреждений (школ). Разработка показателей государственного (муниципального) задания общеобразовательному учреждению (школе). Порядок расчета основных показателей, характеризующих качество и объем государственных (муниципальных) услуг, оказываемых общеобразовательными учреждениями.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Системы оплаты труда работников государственных и муниципальных образовательных учреждений. Определение месячной заработной платы учителей и других педагогических работников. Виды выплат компенсационного и стимулирующего характера, порядок их установления. Порядок тарификации учителей и других педагогических работников.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Определение должностных окладов руководящих работников, административно-хозяйственного и учебно-вспомогательного персонала общеобразовательных учреждений. Планирование фонда оплаты труда работников общеобразовательных учреждений.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Состав  и  планирование  расходов  на  содержание  казенных  общеобразовательных  учреждений  в  разрезе КОСГУ.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Порядок  расчета  показателей  по  поступлениям  и  выплатам  плана </w:t>
      </w:r>
      <w:r w:rsidRPr="00B97EB6">
        <w:rPr>
          <w:rFonts w:ascii="Times New Roman" w:eastAsia="Calibri" w:hAnsi="Times New Roman" w:cs="Times New Roman"/>
          <w:sz w:val="24"/>
          <w:szCs w:val="24"/>
        </w:rPr>
        <w:lastRenderedPageBreak/>
        <w:t>финансово-хозяйственной деятельности бюджетных и автономных общеобразовательных учреждений.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Особенности финансового обеспечения деятельности дошкольных образовательных учреждений. Разработка показателей государственного (муниципального) задания дошкольным образовательным учреждениям. Порядок расчета основных показателей, характеризующих качество и объем государственных (муниципальных) услуг, оказываемых дошкольными образовательными учреждениями.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Определение должностных окладов работников дошкольных учреждений. Планирование расходов на оплату труда и других расходов на содержание дошкольных образовательных учреждений.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Особенности расчета плановых показателей по бюджетной смете и плану финансово-хозяйственной  деятельности дошкольного образовательного учреждения.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Особенности финансового обеспечения деятельности образовательных учреждений среднего профессионального образования. Разработка показателей государственного (муниципального) задания образовательному учреждению среднего профессионального образования. 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расчета основных показателей, характеризующих качество и объем государственных (муниципальных) услуг, оказываемых образовательными учреждениями среднего профессионального образования.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Определение заработной платы и порядок тарификации педагогических работников образовательных учреждений среднего профессионального образования. Порядок планирования расходов на оплату труда и других расходов на содержание образовательных учреждений среднего профессионального образования.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Особенности расчета плановых показателей по бюджетной смете и плану финансово-хозяйственной  деятельности образовательного учреждения среднего профессионального образования.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Особенности финансового обеспечения деятельности учреждений культуры.  Источники  формирования  финансовых  ресурсов  учреждений  культуры.  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Разработка показателей государственного (муниципального) задания учреждению культуры. Порядок расчета основных показателей, характеризующих качество и объем государственных (муниципальных) услуг, оказываемых </w:t>
      </w:r>
      <w:r w:rsidRPr="00B97EB6">
        <w:rPr>
          <w:rFonts w:ascii="Times New Roman" w:eastAsia="Calibri" w:hAnsi="Times New Roman" w:cs="Times New Roman"/>
          <w:sz w:val="24"/>
          <w:szCs w:val="24"/>
        </w:rPr>
        <w:lastRenderedPageBreak/>
        <w:t>учреждениями культуры. Порядок планирования расходов на содержание учреждений культуры.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Организация здравоохранения в Российской Федерации. Финансовое обеспечение бесплатной медицинской помощи. Система обязательного медицинского страхования в Российской Федерации.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Источники финансового обеспечения деятельности учреждений здравоохранения. Разработка показателей государственного (муниципального) задания учреждениям здравоохранения. Порядок расчета основных показателей, характеризующих качество и объем государственных (муниципальных) услуг, оказываемых учреждениями здравоохранения.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Определение должностных окладов, выплат компенсационного и стимулирующего характера медицинским, руководящим и другим работникам учреждений здравоохранения. Порядок тарификации работников учреждений здравоохранения.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Планирование расходов на оплату труда работников учреждений здравоохранения.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Состав и планирование расходов на содержание казенных учреждений здравоохранения в разрезе КОСГУ.</w:t>
      </w:r>
    </w:p>
    <w:p w:rsidR="00B97EB6" w:rsidRPr="00B97EB6" w:rsidRDefault="00B97EB6" w:rsidP="00B97EB6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 расчета  плановых  показателей по поступлениям и выплатам плана  финансово-хозяйственной  деятельности бюджетных и автономных учреждений здравоохранения.</w:t>
      </w:r>
    </w:p>
    <w:p w:rsidR="00B97EB6" w:rsidRPr="00B97EB6" w:rsidRDefault="00B97EB6" w:rsidP="00B97EB6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97EB6" w:rsidRPr="00B97EB6" w:rsidRDefault="00B97EB6" w:rsidP="00B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7EB6">
        <w:rPr>
          <w:rFonts w:ascii="Times New Roman" w:eastAsia="Calibri" w:hAnsi="Times New Roman" w:cs="Times New Roman"/>
          <w:b/>
          <w:bCs/>
          <w:sz w:val="24"/>
          <w:szCs w:val="24"/>
        </w:rPr>
        <w:t>III. Практические задания.</w:t>
      </w:r>
    </w:p>
    <w:p w:rsid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1.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="00370B53"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На основании имеющихся данных составьте бюджет городского округа и проанализируйте его структуру, определите дефицит (профицит) бюджета.</w:t>
      </w:r>
    </w:p>
    <w:p w:rsidR="00370B53" w:rsidRPr="00370B53" w:rsidRDefault="00370B53" w:rsidP="00370B53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370B53">
        <w:rPr>
          <w:rFonts w:ascii="Times New Roman" w:hAnsi="Times New Roman" w:cs="Times New Roman"/>
          <w:bCs/>
          <w:i/>
          <w:sz w:val="24"/>
          <w:szCs w:val="24"/>
        </w:rPr>
        <w:t>Таблица</w:t>
      </w:r>
    </w:p>
    <w:p w:rsidR="00370B53" w:rsidRPr="00370B53" w:rsidRDefault="00370B53" w:rsidP="00370B53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370B53">
        <w:rPr>
          <w:rFonts w:ascii="Times New Roman" w:hAnsi="Times New Roman" w:cs="Times New Roman"/>
          <w:bCs/>
          <w:i/>
          <w:sz w:val="24"/>
          <w:szCs w:val="24"/>
        </w:rPr>
        <w:t>Данные для расчета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79"/>
        <w:gridCol w:w="1837"/>
      </w:tblGrid>
      <w:tr w:rsidR="00370B53" w:rsidRPr="00623249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B53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B53">
              <w:rPr>
                <w:rFonts w:ascii="Times New Roman" w:hAnsi="Times New Roman"/>
                <w:b/>
                <w:bCs/>
                <w:sz w:val="20"/>
                <w:szCs w:val="20"/>
              </w:rPr>
              <w:t>Тыс. руб.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14 355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483 245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140 179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45 609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128 258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1 288 968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381 167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Прочие налоговые доходы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15 832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141 661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33 225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47 411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213 970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33 308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10 944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1 935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Акцизы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24 054</w:t>
            </w:r>
          </w:p>
        </w:tc>
      </w:tr>
      <w:tr w:rsidR="00370B53" w:rsidTr="00B1297D">
        <w:tc>
          <w:tcPr>
            <w:tcW w:w="1129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79" w:type="dxa"/>
          </w:tcPr>
          <w:p w:rsidR="00370B53" w:rsidRPr="00370B53" w:rsidRDefault="00370B53" w:rsidP="00B1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837" w:type="dxa"/>
          </w:tcPr>
          <w:p w:rsidR="00370B53" w:rsidRPr="00370B53" w:rsidRDefault="00370B53" w:rsidP="00B12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B53">
              <w:rPr>
                <w:rFonts w:ascii="Times New Roman" w:hAnsi="Times New Roman" w:cs="Times New Roman"/>
                <w:sz w:val="20"/>
                <w:szCs w:val="20"/>
              </w:rPr>
              <w:t>935 155</w:t>
            </w:r>
          </w:p>
        </w:tc>
      </w:tr>
    </w:tbl>
    <w:p w:rsidR="00370B53" w:rsidRPr="00623249" w:rsidRDefault="00370B53" w:rsidP="00370B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2.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ГУ МЧС РФ по Мурманской области были запланированы следующие бюджетные ассигнования на отчетный год (см. Таблицу). Заполните таблицу до конца. Проведите мониторинг исполнения сметы. </w:t>
      </w:r>
    </w:p>
    <w:p w:rsidR="0091456B" w:rsidRDefault="0091456B" w:rsidP="00B97EB6">
      <w:pPr>
        <w:widowControl w:val="0"/>
        <w:suppressAutoHyphens/>
        <w:autoSpaceDN w:val="0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91456B" w:rsidRDefault="0091456B" w:rsidP="00B97EB6">
      <w:pPr>
        <w:widowControl w:val="0"/>
        <w:suppressAutoHyphens/>
        <w:autoSpaceDN w:val="0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B97EB6" w:rsidRPr="00B97EB6" w:rsidRDefault="00B97EB6" w:rsidP="00B97EB6">
      <w:pPr>
        <w:widowControl w:val="0"/>
        <w:suppressAutoHyphens/>
        <w:autoSpaceDN w:val="0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97EB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Таблица</w:t>
      </w:r>
    </w:p>
    <w:p w:rsidR="00B97EB6" w:rsidRPr="00B97EB6" w:rsidRDefault="00B97EB6" w:rsidP="00B97EB6">
      <w:pPr>
        <w:widowControl w:val="0"/>
        <w:suppressAutoHyphens/>
        <w:autoSpaceDN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97EB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Отчёт об исполнении сметы</w:t>
      </w:r>
    </w:p>
    <w:tbl>
      <w:tblPr>
        <w:tblW w:w="8980" w:type="dxa"/>
        <w:jc w:val="center"/>
        <w:tblLook w:val="04A0" w:firstRow="1" w:lastRow="0" w:firstColumn="1" w:lastColumn="0" w:noHBand="0" w:noVBand="1"/>
      </w:tblPr>
      <w:tblGrid>
        <w:gridCol w:w="655"/>
        <w:gridCol w:w="1944"/>
        <w:gridCol w:w="1654"/>
        <w:gridCol w:w="1560"/>
        <w:gridCol w:w="1901"/>
        <w:gridCol w:w="1266"/>
      </w:tblGrid>
      <w:tr w:rsidR="00B97EB6" w:rsidRPr="00B97EB6" w:rsidTr="00924938">
        <w:trPr>
          <w:trHeight w:val="465"/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  <w:t>Код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ЭКР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  <w:t>Статья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  <w:t>расходов</w:t>
            </w:r>
            <w:proofErr w:type="spellEnd"/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Бюджетные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ассигнования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Кассовое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исполнение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бюджета</w:t>
            </w:r>
            <w:proofErr w:type="spellEnd"/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Неисполненные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назначения</w:t>
            </w:r>
            <w:proofErr w:type="spellEnd"/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Удельный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вес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,%</w:t>
            </w: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211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Заработная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плата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23 400 000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23 400 000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213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Начисления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на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оплату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труда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7 020 000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6 686 270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связи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1 200 000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1 225 000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Транспортные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480 000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450 000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Коммунальные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830 000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820 000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46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Арендная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плата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600 000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600 000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Прочие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3 082 500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2 954 500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465"/>
          <w:jc w:val="center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310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Увеличение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стоимости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основных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средств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5 721 800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5 721 800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465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val="de-DE" w:eastAsia="ru-RU" w:bidi="fa-IR"/>
              </w:rPr>
              <w:t>ИТОГО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</w:tbl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3.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МОУ № 12 </w:t>
      </w:r>
      <w:proofErr w:type="spellStart"/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>г.Мурманска</w:t>
      </w:r>
      <w:proofErr w:type="spellEnd"/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отчетный год были запланированы следующие бюджетные ассигнования (</w:t>
      </w:r>
      <w:proofErr w:type="spellStart"/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>см.Таблицу</w:t>
      </w:r>
      <w:proofErr w:type="spellEnd"/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Заполните таблицу до конца. Проведите мониторинг исполнения плана финансово-хозяйственной деятельности школы. </w:t>
      </w:r>
    </w:p>
    <w:p w:rsidR="00B97EB6" w:rsidRPr="00B97EB6" w:rsidRDefault="00B97EB6" w:rsidP="00B97EB6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97EB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Таблица </w:t>
      </w:r>
    </w:p>
    <w:p w:rsidR="00B97EB6" w:rsidRPr="00B97EB6" w:rsidRDefault="00B97EB6" w:rsidP="00B97EB6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97EB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Отчёт об исполнении плана финансово-хозяйственной деятельности</w:t>
      </w:r>
    </w:p>
    <w:tbl>
      <w:tblPr>
        <w:tblW w:w="10627" w:type="dxa"/>
        <w:jc w:val="center"/>
        <w:tblLook w:val="04A0" w:firstRow="1" w:lastRow="0" w:firstColumn="1" w:lastColumn="0" w:noHBand="0" w:noVBand="1"/>
      </w:tblPr>
      <w:tblGrid>
        <w:gridCol w:w="2185"/>
        <w:gridCol w:w="1112"/>
        <w:gridCol w:w="2203"/>
        <w:gridCol w:w="1898"/>
        <w:gridCol w:w="1669"/>
        <w:gridCol w:w="1560"/>
      </w:tblGrid>
      <w:tr w:rsidR="00B97EB6" w:rsidRPr="00B97EB6" w:rsidTr="00924938">
        <w:trPr>
          <w:trHeight w:val="46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ru-RU" w:bidi="fa-IR"/>
              </w:rPr>
              <w:t>Показатель</w:t>
            </w:r>
          </w:p>
        </w:tc>
        <w:tc>
          <w:tcPr>
            <w:tcW w:w="1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  <w:t>Код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ЭКР</w:t>
            </w:r>
          </w:p>
        </w:tc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Бюджетные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ассигнования</w:t>
            </w:r>
            <w:proofErr w:type="spellEnd"/>
          </w:p>
        </w:tc>
        <w:tc>
          <w:tcPr>
            <w:tcW w:w="1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Кассовое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исполнение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бюджета</w:t>
            </w:r>
            <w:proofErr w:type="spellEnd"/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Неисполненные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назначени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eastAsia="ja-JP" w:bidi="fa-IR"/>
              </w:rPr>
              <w:t>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Удельный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вес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,%</w:t>
            </w: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Остаток средств на начало года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Х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5 150 000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5 150 000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right="17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 xml:space="preserve">Поступления всего, в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т.ч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.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Х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161 397 000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Субсидии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Х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118 700 000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118 700 000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Поступления от оказания услуг на платной основе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Х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40 747 000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39 984 000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Прочие поступления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Х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1 950 000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2 069 000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 xml:space="preserve">Выплаты всего. В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т.ч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.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900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  <w:t>171 306 000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 w:bidi="fa-IR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Заработная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плата</w:t>
            </w:r>
            <w:proofErr w:type="spellEnd"/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211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99 300 000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99 300 000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Начисления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на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оплату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труда</w:t>
            </w:r>
            <w:proofErr w:type="spellEnd"/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213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29 980 700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29 687 000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связи</w:t>
            </w:r>
            <w:proofErr w:type="spellEnd"/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221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436 000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436 000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Транспортные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222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295 000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290 000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Коммунальные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223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12 091 000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12 091 000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46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Содержание имущества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</w:t>
            </w: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5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3 530 100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3 485 000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31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Прочие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услуги</w:t>
            </w:r>
            <w:proofErr w:type="spellEnd"/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  <w:t>226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3 847 200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3 896 000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  <w:tr w:rsidR="00B97EB6" w:rsidRPr="00B97EB6" w:rsidTr="00924938">
        <w:trPr>
          <w:trHeight w:val="465"/>
          <w:jc w:val="center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Прочие расходы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290</w:t>
            </w:r>
          </w:p>
        </w:tc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21 826 000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</w:pPr>
            <w:r w:rsidRPr="00B97EB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 w:bidi="fa-IR"/>
              </w:rPr>
              <w:t>21 649 200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de-DE" w:eastAsia="ru-RU" w:bidi="fa-IR"/>
              </w:rPr>
            </w:pPr>
          </w:p>
        </w:tc>
      </w:tr>
    </w:tbl>
    <w:p w:rsidR="00B97EB6" w:rsidRPr="00B97EB6" w:rsidRDefault="00B97EB6" w:rsidP="00B97EB6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4.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Проанализируйте данные в таблице. Заполните до конца расходный реестр бюджетной организации (УВД Мурманской области) в соответствии с кодами бюджетной классификации доходов-расходов и составьте смету на плановый год. (ЭКР- экономическая классификация расходов)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109"/>
        <w:gridCol w:w="1953"/>
        <w:gridCol w:w="799"/>
      </w:tblGrid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расхода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Сумма,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ar-SA"/>
              </w:rPr>
              <w:t>руб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ar-SA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ar-SA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ar-SA"/>
              </w:rPr>
              <w:t>Код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ar-SA"/>
              </w:rPr>
              <w:t xml:space="preserve"> ЭКР</w:t>
            </w: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Услуги адвокатов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2 100 000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Заработная плата сотрудников полиции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26 140 000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Начисление на оплату труда персонала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12 344 400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Оплата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услуг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связи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3 193 100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Арендная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плата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957 000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Услуги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п</w:t>
            </w: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</w:t>
            </w: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содержанию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имущества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23 320 100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Оплаты налогов, госпошлин, возмещение морального вреда по решению суда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1 297 900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Приобретение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основных средств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10 450 000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Приобретение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расходных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материалов</w:t>
            </w:r>
            <w:proofErr w:type="spellEnd"/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 xml:space="preserve"> (ГСМ)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4 500 000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  <w:tr w:rsidR="00B97EB6" w:rsidRPr="00B97EB6" w:rsidTr="00355E4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Запасные части для средств оргтехники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  <w:r w:rsidRPr="00B97EB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  <w:t>500 000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autoSpaceDE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ar-SA"/>
              </w:rPr>
            </w:pPr>
          </w:p>
        </w:tc>
      </w:tr>
    </w:tbl>
    <w:p w:rsidR="00B97EB6" w:rsidRPr="00B97EB6" w:rsidRDefault="00B97EB6" w:rsidP="00B97EB6">
      <w:pPr>
        <w:autoSpaceDE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3"/>
          <w:kern w:val="32"/>
          <w:sz w:val="20"/>
          <w:szCs w:val="20"/>
          <w:lang w:eastAsia="ru-RU"/>
        </w:rPr>
      </w:pPr>
    </w:p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5.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Проанализируйте данные в таблице. </w:t>
      </w:r>
      <w:r w:rsidRPr="00B97EB6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Заполните до конца расходный реестр бюджетной организации (ГУ МЧС) в соответствии с кодами бюджетной классификации доходов-расходов и составьте смету на плановый год.</w:t>
      </w:r>
    </w:p>
    <w:p w:rsidR="00B97EB6" w:rsidRPr="00B97EB6" w:rsidRDefault="00B97EB6" w:rsidP="00B97EB6">
      <w:pPr>
        <w:autoSpaceDE w:val="0"/>
        <w:adjustRightInd w:val="0"/>
        <w:spacing w:after="0" w:line="360" w:lineRule="auto"/>
        <w:jc w:val="both"/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709"/>
        <w:gridCol w:w="1953"/>
        <w:gridCol w:w="799"/>
      </w:tblGrid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№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Наименование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расхода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eastAsia="ja-JP" w:bidi="fa-IR"/>
              </w:rPr>
              <w:t xml:space="preserve">Сумма,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>руб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>Код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 xml:space="preserve"> ЭКР</w:t>
            </w: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Услуги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по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содержанию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имущества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26 418 000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Арендная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плата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1 312 000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3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Транспортные услуги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3 074 000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Оплаты налогов, госпошлин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1 675 000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5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Заработная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плата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сотрудников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40 000 000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6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Начисление на оплату труда персонала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12 000 000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7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Оплата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услуг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связи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2 950 000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8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Приобретение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нового оборудования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28 561 000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709" w:right="6" w:firstLine="709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9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709" w:right="6" w:firstLine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 xml:space="preserve">Расходы на бензин и прочие расходные материалы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right="6" w:firstLine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4 029 000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right="6" w:firstLine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709" w:right="6" w:firstLine="709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10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709" w:right="6" w:firstLine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Запасные части для средств оргтехники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right="6" w:firstLine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500 000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right="6" w:firstLine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</w:tbl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</w:p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6.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Проанализируйте данные в таблице. </w:t>
      </w:r>
      <w:r w:rsidRPr="00B97EB6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Заполните до конца расходный реестр бюджетной организации в соответствии с кодами бюджетной классификации доходов-расходов и составьте смету на плановый год.</w:t>
      </w:r>
    </w:p>
    <w:p w:rsidR="00B97EB6" w:rsidRPr="00B97EB6" w:rsidRDefault="00B97EB6" w:rsidP="00B97EB6">
      <w:pPr>
        <w:autoSpaceDE w:val="0"/>
        <w:adjustRightInd w:val="0"/>
        <w:spacing w:after="0" w:line="360" w:lineRule="auto"/>
        <w:ind w:left="709"/>
        <w:jc w:val="both"/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</w:pP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851"/>
        <w:gridCol w:w="1953"/>
        <w:gridCol w:w="1871"/>
      </w:tblGrid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№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Наименование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расхода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eastAsia="ja-JP" w:bidi="fa-IR"/>
              </w:rPr>
              <w:t xml:space="preserve">Сумма,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>руб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>Код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b/>
                <w:kern w:val="3"/>
                <w:sz w:val="20"/>
                <w:szCs w:val="20"/>
                <w:lang w:val="de-DE" w:eastAsia="ja-JP" w:bidi="fa-IR"/>
              </w:rPr>
              <w:t xml:space="preserve"> ЭКР</w:t>
            </w: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1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Сырьё и материалы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37 642 000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Зарплата сотрудников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40 151 000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3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Начисление на оплату труда персонала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12 046 000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4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Услуги консалтингового агентства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120 000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5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Услуги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по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содержанию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имущества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8 964 000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6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Арендная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плата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1 578 000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7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Транспортные услуги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869 000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8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Оплаты налогов, госпошлин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1 294 000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504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9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>Приобретение</w:t>
            </w:r>
            <w:proofErr w:type="spellEnd"/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нового оборудования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17 000 000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B97EB6" w:rsidRPr="00B97EB6" w:rsidTr="00924938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-250" w:right="455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  <w:t>Коммунальные услуги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</w:pPr>
            <w:r w:rsidRPr="00B97EB6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 w:bidi="fa-IR"/>
              </w:rPr>
              <w:t>650 000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B6" w:rsidRPr="00B97EB6" w:rsidRDefault="00B97EB6" w:rsidP="00B97EB6">
            <w:pPr>
              <w:widowControl w:val="0"/>
              <w:suppressAutoHyphens/>
              <w:autoSpaceDN w:val="0"/>
              <w:spacing w:after="0" w:line="360" w:lineRule="auto"/>
              <w:ind w:left="709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0"/>
                <w:szCs w:val="20"/>
                <w:lang w:eastAsia="ja-JP" w:bidi="fa-IR"/>
              </w:rPr>
            </w:pPr>
          </w:p>
        </w:tc>
      </w:tr>
    </w:tbl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7.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приведенным данным, используя нормативный метод планирования, определить общую сумму расходов на питание для районной больницы.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Среднегодовое количество коек </w:t>
      </w:r>
      <w:proofErr w:type="gramStart"/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</w:t>
      </w:r>
      <w:proofErr w:type="gramEnd"/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= 90 шт. Число дней функционирования одной койки на протяжении года Д = 365 дней. Средневзвешенная норма расходов на один койко-день Р1 =1100 руб.</w:t>
      </w:r>
    </w:p>
    <w:p w:rsidR="00B97EB6" w:rsidRPr="00B97EB6" w:rsidRDefault="00B97EB6" w:rsidP="00B97EB6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8.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Andale Sans UI" w:hAnsi="Times New Roman" w:cs="Times New Roman"/>
          <w:sz w:val="24"/>
          <w:szCs w:val="24"/>
          <w:lang w:eastAsia="ru-RU"/>
        </w:rPr>
        <w:t xml:space="preserve">Составьте план финансово-хозяйственной деятельности бюджетной организации, если известно, что в следующем году планируется получить субсидии на выполнение </w:t>
      </w:r>
      <w:proofErr w:type="spellStart"/>
      <w:r w:rsidRPr="00B97EB6">
        <w:rPr>
          <w:rFonts w:ascii="Times New Roman" w:eastAsia="Andale Sans UI" w:hAnsi="Times New Roman" w:cs="Times New Roman"/>
          <w:sz w:val="24"/>
          <w:szCs w:val="24"/>
          <w:lang w:eastAsia="ru-RU"/>
        </w:rPr>
        <w:t>гос.задания</w:t>
      </w:r>
      <w:proofErr w:type="spellEnd"/>
      <w:r w:rsidRPr="00B97EB6">
        <w:rPr>
          <w:rFonts w:ascii="Times New Roman" w:eastAsia="Andale Sans UI" w:hAnsi="Times New Roman" w:cs="Times New Roman"/>
          <w:sz w:val="24"/>
          <w:szCs w:val="24"/>
          <w:lang w:eastAsia="ru-RU"/>
        </w:rPr>
        <w:t xml:space="preserve"> 142 млн руб. Доходы от иной коммерческой деятельности будут на уровне 50 млн руб. Зарплата сотрудников 130 млн руб. Коммунальные слуги 14 млн</w:t>
      </w:r>
      <w:r w:rsidR="00480153">
        <w:rPr>
          <w:rFonts w:ascii="Times New Roman" w:eastAsia="Andale Sans UI" w:hAnsi="Times New Roman" w:cs="Times New Roman"/>
          <w:sz w:val="24"/>
          <w:szCs w:val="24"/>
          <w:lang w:eastAsia="ru-RU"/>
        </w:rPr>
        <w:t>.</w:t>
      </w:r>
      <w:r w:rsidRPr="00B97EB6">
        <w:rPr>
          <w:rFonts w:ascii="Times New Roman" w:eastAsia="Andale Sans UI" w:hAnsi="Times New Roman" w:cs="Times New Roman"/>
          <w:sz w:val="24"/>
          <w:szCs w:val="24"/>
          <w:lang w:eastAsia="ru-RU"/>
        </w:rPr>
        <w:t xml:space="preserve"> руб. Транспортные услуги – 500 тыс</w:t>
      </w:r>
      <w:r w:rsidR="00480153">
        <w:rPr>
          <w:rFonts w:ascii="Times New Roman" w:eastAsia="Andale Sans UI" w:hAnsi="Times New Roman" w:cs="Times New Roman"/>
          <w:sz w:val="24"/>
          <w:szCs w:val="24"/>
          <w:lang w:eastAsia="ru-RU"/>
        </w:rPr>
        <w:t>.</w:t>
      </w:r>
      <w:r w:rsidRPr="00B97EB6">
        <w:rPr>
          <w:rFonts w:ascii="Times New Roman" w:eastAsia="Andale Sans UI" w:hAnsi="Times New Roman" w:cs="Times New Roman"/>
          <w:sz w:val="24"/>
          <w:szCs w:val="24"/>
          <w:lang w:eastAsia="ru-RU"/>
        </w:rPr>
        <w:t xml:space="preserve"> руб. Услуги связи 320 тыс. руб.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9.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Определение расчетно-нормативных затрат на содержание учреждения здравоохранения. 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Исходные данные для расчета нормативных затрат на содержание учреждений здравоохранения: 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больнице на начало планируемого года имеется следующее количество коек по отделениям: терапевтическое – 60, хирургическое – 48, травматологическое – 50, детское - 46. 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следующем году планируется увеличить на 10 коек терапевтическое отделение с 1 мая, а в травматологическом отделении сократить 12  коек с 1 августа. 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Количество дней функционирования 1 койки в году: терапевтическое отделение – 320, хирургическое отделение – 350, травматологическое отделение – 310, детское отделение –360. 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97E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Определить число койко-дней по каждому отделению.</w:t>
      </w: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</w:p>
    <w:p w:rsidR="00370B53" w:rsidRPr="00370B53" w:rsidRDefault="00B97EB6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B97EB6">
        <w:rPr>
          <w:rFonts w:ascii="Times New Roman" w:eastAsia="Times New Roman" w:hAnsi="Times New Roman" w:cs="Times New Roman"/>
          <w:b/>
          <w:bCs/>
          <w:spacing w:val="-3"/>
          <w:kern w:val="32"/>
          <w:sz w:val="24"/>
          <w:szCs w:val="24"/>
          <w:lang w:eastAsia="ru-RU"/>
        </w:rPr>
        <w:t>Задача 10.</w:t>
      </w:r>
      <w:r w:rsidRPr="00B97EB6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 </w:t>
      </w:r>
      <w:r w:rsidR="00370B53"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В деревне функционирует сельский клуб, который является муниципальным бюджетным учреждением. Клуб организует любительские объединения и кружки для различных возрастных категорий населения. Клуб выполняет муниципальное задание по творческому развитию населения деревни. Финансовое обеспечение выполнения муниципального задания рассчитано исходя из нормативных затрат на оказание услуг и объема услуги. Субсидия на выполнение муниципального задания: 1766367,6 руб.</w:t>
      </w:r>
    </w:p>
    <w:p w:rsidR="00370B53" w:rsidRPr="00370B53" w:rsidRDefault="00370B53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В рамках субсидии на выполнение муниципального задания необходимо учесть следующие расходы:</w:t>
      </w:r>
    </w:p>
    <w:p w:rsidR="00370B53" w:rsidRPr="00370B53" w:rsidRDefault="00370B53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 xml:space="preserve">- расходы на оплату труда (данные для расчета представлены в </w:t>
      </w:r>
      <w:r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таблице</w:t>
      </w:r>
      <w:r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). Страховые взносы составляют 30,2%.</w:t>
      </w:r>
    </w:p>
    <w:p w:rsidR="00370B53" w:rsidRPr="00370B53" w:rsidRDefault="00370B53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- оплата услуг связи – 1500 руб. в месяц;</w:t>
      </w:r>
    </w:p>
    <w:p w:rsidR="00370B53" w:rsidRPr="00370B53" w:rsidRDefault="00370B53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- оплата коммунальных услуг – 6500 руб. в месяц;</w:t>
      </w:r>
    </w:p>
    <w:p w:rsidR="00370B53" w:rsidRPr="00370B53" w:rsidRDefault="00370B53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</w:pPr>
      <w:r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- хозяйственные и канцелярские расходы – 14400 руб. в год;</w:t>
      </w:r>
    </w:p>
    <w:p w:rsidR="00B97EB6" w:rsidRDefault="00370B53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70B53">
        <w:rPr>
          <w:rFonts w:ascii="Times New Roman" w:eastAsia="Times New Roman" w:hAnsi="Times New Roman" w:cs="Times New Roman"/>
          <w:spacing w:val="-3"/>
          <w:kern w:val="32"/>
          <w:sz w:val="24"/>
          <w:szCs w:val="24"/>
          <w:lang w:eastAsia="ru-RU"/>
        </w:rPr>
        <w:t>- приобретение музыкальных инструментов – 75600 руб. в год.</w:t>
      </w:r>
    </w:p>
    <w:p w:rsidR="00370B53" w:rsidRPr="00370B53" w:rsidRDefault="00370B53" w:rsidP="00370B53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370B53">
        <w:rPr>
          <w:rFonts w:ascii="Times New Roman" w:hAnsi="Times New Roman" w:cs="Times New Roman"/>
          <w:bCs/>
          <w:i/>
          <w:sz w:val="24"/>
          <w:szCs w:val="24"/>
        </w:rPr>
        <w:t xml:space="preserve">Таблица </w:t>
      </w:r>
    </w:p>
    <w:p w:rsidR="00370B53" w:rsidRPr="00370B53" w:rsidRDefault="00370B53" w:rsidP="00370B53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370B53">
        <w:rPr>
          <w:rFonts w:ascii="Times New Roman" w:hAnsi="Times New Roman" w:cs="Times New Roman"/>
          <w:bCs/>
          <w:i/>
          <w:sz w:val="24"/>
          <w:szCs w:val="24"/>
        </w:rPr>
        <w:t>Данные для расчета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2009"/>
        <w:gridCol w:w="1546"/>
        <w:gridCol w:w="1690"/>
      </w:tblGrid>
      <w:tr w:rsidR="00370B53" w:rsidTr="00B1297D">
        <w:tc>
          <w:tcPr>
            <w:tcW w:w="562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Штатный состав</w:t>
            </w:r>
          </w:p>
        </w:tc>
        <w:tc>
          <w:tcPr>
            <w:tcW w:w="1559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Штатная численность</w:t>
            </w:r>
          </w:p>
        </w:tc>
        <w:tc>
          <w:tcPr>
            <w:tcW w:w="2009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Должностной оклад (мес.), руб.</w:t>
            </w:r>
          </w:p>
        </w:tc>
        <w:tc>
          <w:tcPr>
            <w:tcW w:w="1546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Надбавка за стаж</w:t>
            </w:r>
          </w:p>
        </w:tc>
        <w:tc>
          <w:tcPr>
            <w:tcW w:w="1690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Надбавка за качество работы</w:t>
            </w:r>
          </w:p>
        </w:tc>
      </w:tr>
      <w:tr w:rsidR="00370B53" w:rsidTr="00B1297D">
        <w:tc>
          <w:tcPr>
            <w:tcW w:w="562" w:type="dxa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546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90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70B53" w:rsidTr="00B1297D">
        <w:tc>
          <w:tcPr>
            <w:tcW w:w="562" w:type="dxa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</w:p>
        </w:tc>
        <w:tc>
          <w:tcPr>
            <w:tcW w:w="1559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</w:p>
        </w:tc>
        <w:tc>
          <w:tcPr>
            <w:tcW w:w="1546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0" w:type="dxa"/>
            <w:vAlign w:val="center"/>
          </w:tcPr>
          <w:p w:rsidR="00370B53" w:rsidRPr="001E7CA7" w:rsidRDefault="00370B53" w:rsidP="00B1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CA7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</w:tbl>
    <w:p w:rsidR="00370B53" w:rsidRPr="00B97EB6" w:rsidRDefault="00370B53" w:rsidP="00370B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97EB6" w:rsidRPr="00B97EB6" w:rsidRDefault="00B97EB6" w:rsidP="00B97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97EB6" w:rsidRPr="00B97EB6" w:rsidRDefault="00B97EB6" w:rsidP="00B97E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7EB6">
        <w:rPr>
          <w:rFonts w:ascii="Times New Roman" w:eastAsia="Calibri" w:hAnsi="Times New Roman" w:cs="Times New Roman"/>
          <w:b/>
          <w:bCs/>
          <w:sz w:val="24"/>
          <w:szCs w:val="24"/>
        </w:rPr>
        <w:t>Вопросы к экзамену по МДК.01.02. Основы финансового планирования в государственных (муниципальных) учреждениях</w:t>
      </w:r>
    </w:p>
    <w:p w:rsidR="00B97EB6" w:rsidRPr="00B97EB6" w:rsidRDefault="00B97EB6" w:rsidP="00B97EB6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Законодательные и нормативные правовые акты, регулирующие особенности правового положения казенных, бюджетных и автономных учреждений.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Порядок формирования государственного (муниципального) задания для государственных (муниципальных) учреждений на оказание государственных (муниципальных) услуг физическим и юридическим лицам.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Показатели, характеризующие качество и объем (содержание) государственной (муниципальной) услуги.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Порядок оказания (выполнения) государственной (муниципальной) услуги.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Финансовое обеспечение выполнения государственного (муниципального) задания государственными (муниципальными) учреждениями.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составления, утверждения и ведения бюджетных смет казенных учреждений. Состав показателей бюджетной сметы в разрезе классификации операций сектора государственного управления (далее – КОСГУ).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Порядок составления и утверждения плана финансово-хозяйственной деятельности государственных (муниципальных) учреждений.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Показатели финансового состояния государственного (муниципального) учреждения.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формирования показателей по поступлениям и выплатам бюджетных и автономных учреждений.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Источники финансового обеспечения общеобразовательных учреждений (школ). Разработка показателей государственного (муниципального) задания общеобразовательному учреждению (школе).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расчета основных показателей, характеризующих качество и объем государственных (муниципальных) услуг, оказываемых общеобразовательными учреждениями.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Системы оплаты труда работников государственных и муниципальных образовательных учреждений. Определение месячной заработной платы учителей и других педагогических работников.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Виды выплат компенсационного и стимулирующего характера, порядок их установления. Порядок тарификации учителей и других педагогических работников.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Определение должностных окладов руководящих работников, административно-хозяйственного и учебно-вспомогательного персонала общеобразовательных учреждений. Планирование фонда оплаты труда работников общеобразовательных учреждений.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Состав  и  планирование  расходов  на  содержание  казенных  общеобразовательных  учреждений  в  разрезе КОСГУ.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 расчета  показателей  по  поступлениям  и  выплатам  плана финансово-хозяйственной деятельности бюджетных и автономных общеобразовательных учреждений.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Особенности финансового обеспечения деятельности дошкольных образовательных учреждений. Разработка показателей государственного (муниципального) задания дошкольным образовательным учреждениям.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расчета основных показателей, характеризующих качество и объем государственных (муниципальных) услуг, оказываемых дошкольными образовательными учреждениями.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Определение должностных окладов работников дошкольных учреждений. Планирование расходов на оплату труда и других расходов на содержание дошкольных образовательных учреждений.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Особенности расчета плановых показателей по бюджетной смете и плану финансово-хозяйственной  деятельности дошкольного образовательного учреждения.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Особенности финансового обеспечения деятельности образовательных учреждений среднего профессионального образования.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Разработка показателей государственного (муниципального) задания образовательному учреждению среднего профессионального образования.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расчета основных показателей, характеризующих качество и объем государственных (муниципальных) услуг, оказываемых образовательными учреждениями среднего профессионального образования.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Определение заработной платы и порядок тарификации педагогических работников образовательных учреждений среднего профессионального образования.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планирования расходов на оплату труда и других расходов на содержание образовательных учреждений среднего профессионального образования.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Особенности расчета плановых показателей по бюджетной смете и плану финансово-хозяйственной  деятельности образовательного учреждения среднего профессионального образования.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Особенности финансового обеспечения деятельности учреждений культуры.  Источники  формирования  финансовых  ресурсов  учреждений  культуры. 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Разработка показателей государственного (муниципального) задания учреждению культуры. Порядок расчета основных показателей, характеризующих качество и объем государственных (муниципальных) услуг, оказываемых учреждениями культуры. Порядок планирования расходов на содержание учреждений культуры.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Организация здравоохранения в Российской Федерации. Финансовое обеспечение бесплатной медицинской помощи. Система обязательного медицинского страхования в Российской Федерации.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 xml:space="preserve">Источники финансового обеспечения деятельности учреждений здравоохранения. Разработка показателей государственного (муниципального) задания учреждениям здравоохранения. 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расчета основных показателей, характеризующих качество и объем государственных (муниципальных) услуг, оказываемых учреждениями здравоохранения.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Определение должностных окладов, выплат компенсационного и стимулирующего характера медицинским, руководящим и другим работникам учреждений здравоохранения. Порядок тарификации работников учреждений здравоохранения.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Планирование расходов на оплату труда работников учреждений здравоохранения.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Состав и планирование расходов на содержание казенных учреждений здравоохранения в разрезе КОСГУ.</w:t>
      </w:r>
    </w:p>
    <w:p w:rsidR="00B97EB6" w:rsidRPr="00B97EB6" w:rsidRDefault="00B97EB6" w:rsidP="00355E45">
      <w:pPr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360" w:lineRule="auto"/>
        <w:ind w:left="0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EB6">
        <w:rPr>
          <w:rFonts w:ascii="Times New Roman" w:eastAsia="Calibri" w:hAnsi="Times New Roman" w:cs="Times New Roman"/>
          <w:sz w:val="24"/>
          <w:szCs w:val="24"/>
        </w:rPr>
        <w:t>Порядок  расчета  плановых  показателей по поступлениям и выплатам плана  финансово-хозяйственной  деятельности бюджетных и автономных учреждений здравоохранения.</w:t>
      </w:r>
    </w:p>
    <w:p w:rsidR="00B97EB6" w:rsidRPr="00B97EB6" w:rsidRDefault="00B97EB6" w:rsidP="00B97EB6">
      <w:pPr>
        <w:rPr>
          <w:rFonts w:ascii="Calibri" w:eastAsia="Calibri" w:hAnsi="Calibri" w:cs="Times New Roman"/>
        </w:rPr>
      </w:pPr>
    </w:p>
    <w:p w:rsidR="00034CF3" w:rsidRDefault="00034CF3"/>
    <w:sectPr w:rsidR="00034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D1B45"/>
    <w:multiLevelType w:val="hybridMultilevel"/>
    <w:tmpl w:val="C81A2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33087"/>
    <w:multiLevelType w:val="hybridMultilevel"/>
    <w:tmpl w:val="C81A2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4C"/>
    <w:rsid w:val="00034CF3"/>
    <w:rsid w:val="00355E45"/>
    <w:rsid w:val="00370B53"/>
    <w:rsid w:val="00480153"/>
    <w:rsid w:val="0091456B"/>
    <w:rsid w:val="009726B7"/>
    <w:rsid w:val="00B97EB6"/>
    <w:rsid w:val="00F9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38F1D-09A2-491D-BDD9-5EF639DF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7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3088</Words>
  <Characters>17602</Characters>
  <Application>Microsoft Office Word</Application>
  <DocSecurity>4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Владимировна</dc:creator>
  <cp:lastModifiedBy>Козлова Наталья Владимировна</cp:lastModifiedBy>
  <cp:revision>2</cp:revision>
  <dcterms:created xsi:type="dcterms:W3CDTF">2024-11-15T11:57:00Z</dcterms:created>
  <dcterms:modified xsi:type="dcterms:W3CDTF">2024-11-15T11:57:00Z</dcterms:modified>
</cp:coreProperties>
</file>